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Overview of Resources</w:t>
      </w:r>
    </w:p>
    <w:p w:rsidR="00000000" w:rsidDel="00000000" w:rsidP="00000000" w:rsidRDefault="00000000" w:rsidRPr="00000000" w14:paraId="00000004">
      <w:pPr>
        <w:jc w:val="center"/>
        <w:rPr>
          <w:b w:val="1"/>
        </w:rPr>
      </w:pPr>
      <w:r w:rsidDel="00000000" w:rsidR="00000000" w:rsidRPr="00000000">
        <w:rPr/>
        <w:drawing>
          <wp:inline distB="114300" distT="114300" distL="114300" distR="114300">
            <wp:extent cx="1142256" cy="1017929"/>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42256" cy="1017929"/>
                    </a:xfrm>
                    <a:prstGeom prst="rect"/>
                    <a:ln/>
                  </pic:spPr>
                </pic:pic>
              </a:graphicData>
            </a:graphic>
          </wp:inline>
        </w:drawing>
      </w:r>
      <w:r w:rsidDel="00000000" w:rsidR="00000000" w:rsidRPr="00000000">
        <w:rPr/>
        <w:drawing>
          <wp:inline distB="114300" distT="114300" distL="114300" distR="114300">
            <wp:extent cx="990600" cy="1055914"/>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90600" cy="1055914"/>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1.  </w:t>
      </w:r>
      <w:hyperlink r:id="rId8">
        <w:r w:rsidDel="00000000" w:rsidR="00000000" w:rsidRPr="00000000">
          <w:rPr>
            <w:b w:val="1"/>
            <w:color w:val="1155cc"/>
            <w:u w:val="single"/>
            <w:rtl w:val="0"/>
          </w:rPr>
          <w:t xml:space="preserve">Schools Incident Response Guide_TEMPLATE</w:t>
        </w:r>
      </w:hyperlink>
      <w:r w:rsidDel="00000000" w:rsidR="00000000" w:rsidRPr="00000000">
        <w:rPr>
          <w:rtl w:val="0"/>
        </w:rPr>
        <w:t xml:space="preserve">- Make a copy of the Google Template</w:t>
      </w:r>
    </w:p>
    <w:p w:rsidR="00000000" w:rsidDel="00000000" w:rsidP="00000000" w:rsidRDefault="00000000" w:rsidRPr="00000000" w14:paraId="00000008">
      <w:pPr>
        <w:numPr>
          <w:ilvl w:val="0"/>
          <w:numId w:val="3"/>
        </w:numPr>
        <w:ind w:left="720" w:hanging="360"/>
        <w:rPr>
          <w:u w:val="none"/>
        </w:rPr>
      </w:pPr>
      <w:r w:rsidDel="00000000" w:rsidR="00000000" w:rsidRPr="00000000">
        <w:rPr>
          <w:rtl w:val="0"/>
        </w:rPr>
        <w:t xml:space="preserve">This is the MAIN document for the workshop.  It is a template of an Incident Response Guide for Ohio, created by the OC3 and modified for schools by Ohio CoSN.</w:t>
      </w:r>
    </w:p>
    <w:p w:rsidR="00000000" w:rsidDel="00000000" w:rsidP="00000000" w:rsidRDefault="00000000" w:rsidRPr="00000000" w14:paraId="00000009">
      <w:pPr>
        <w:rPr>
          <w:b w:val="1"/>
        </w:rPr>
      </w:pPr>
      <w:r w:rsidDel="00000000" w:rsidR="00000000" w:rsidRPr="00000000">
        <w:rPr>
          <w:rtl w:val="0"/>
        </w:rPr>
        <w:t xml:space="preserve">2.  </w:t>
      </w:r>
      <w:hyperlink r:id="rId9">
        <w:r w:rsidDel="00000000" w:rsidR="00000000" w:rsidRPr="00000000">
          <w:rPr>
            <w:b w:val="1"/>
            <w:color w:val="1155cc"/>
            <w:u w:val="single"/>
            <w:rtl w:val="0"/>
          </w:rPr>
          <w:t xml:space="preserve">1. BEFORE_Introduction and Preparation for Incident Response Guide Make and Take Workshop </w:t>
        </w:r>
      </w:hyperlink>
      <w:r w:rsidDel="00000000" w:rsidR="00000000" w:rsidRPr="00000000">
        <w:rPr>
          <w:rtl w:val="0"/>
        </w:rPr>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This document articulates the WHY for an Incident Response Guide and outlines what participants can do to come prepared to the session.  If participants are not able to complete pre-work, they can complete work later to finish the Incident Response Guide.</w:t>
      </w:r>
    </w:p>
    <w:p w:rsidR="00000000" w:rsidDel="00000000" w:rsidP="00000000" w:rsidRDefault="00000000" w:rsidRPr="00000000" w14:paraId="0000000B">
      <w:pPr>
        <w:rPr/>
      </w:pPr>
      <w:r w:rsidDel="00000000" w:rsidR="00000000" w:rsidRPr="00000000">
        <w:rPr>
          <w:rtl w:val="0"/>
        </w:rPr>
        <w:t xml:space="preserve">3.  </w:t>
      </w:r>
      <w:hyperlink r:id="rId10">
        <w:r w:rsidDel="00000000" w:rsidR="00000000" w:rsidRPr="00000000">
          <w:rPr>
            <w:b w:val="1"/>
            <w:color w:val="1155cc"/>
            <w:u w:val="single"/>
            <w:rtl w:val="0"/>
          </w:rPr>
          <w:t xml:space="preserve">2. BEFORE_Incident Response Planning Planning</w:t>
        </w:r>
      </w:hyperlink>
      <w:r w:rsidDel="00000000" w:rsidR="00000000" w:rsidRPr="00000000">
        <w:rPr>
          <w:rtl w:val="0"/>
        </w:rPr>
        <w:t xml:space="preserve">- Make a copy of the</w:t>
      </w:r>
      <w:r w:rsidDel="00000000" w:rsidR="00000000" w:rsidRPr="00000000">
        <w:rPr>
          <w:rtl w:val="0"/>
        </w:rPr>
        <w:t xml:space="preserve"> spreadsheet</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This accompanies the Introduction and Preparation for Incident Response Guide.  It is basically a worksheet to help participants collect the information they need to complete their Guide.  Participants can link this document throughout the MAIN Incident Response Guide, thus keeping their districts personal information accessible only to those with accessibility to the spreadsheet.</w:t>
      </w:r>
    </w:p>
    <w:p w:rsidR="00000000" w:rsidDel="00000000" w:rsidP="00000000" w:rsidRDefault="00000000" w:rsidRPr="00000000" w14:paraId="0000000D">
      <w:pPr>
        <w:rPr/>
      </w:pPr>
      <w:r w:rsidDel="00000000" w:rsidR="00000000" w:rsidRPr="00000000">
        <w:rPr>
          <w:rtl w:val="0"/>
        </w:rPr>
        <w:t xml:space="preserve">4.  </w:t>
      </w:r>
      <w:hyperlink r:id="rId11">
        <w:r w:rsidDel="00000000" w:rsidR="00000000" w:rsidRPr="00000000">
          <w:rPr>
            <w:b w:val="1"/>
            <w:color w:val="1155cc"/>
            <w:u w:val="single"/>
            <w:rtl w:val="0"/>
          </w:rPr>
          <w:t xml:space="preserve">DURING_Incident Response Guide for Ohio Schools</w:t>
        </w:r>
      </w:hyperlink>
      <w:r w:rsidDel="00000000" w:rsidR="00000000" w:rsidRPr="00000000">
        <w:rPr>
          <w:rtl w:val="0"/>
        </w:rPr>
      </w:r>
    </w:p>
    <w:p w:rsidR="00000000" w:rsidDel="00000000" w:rsidP="00000000" w:rsidRDefault="00000000" w:rsidRPr="00000000" w14:paraId="0000000E">
      <w:pPr>
        <w:numPr>
          <w:ilvl w:val="0"/>
          <w:numId w:val="4"/>
        </w:numPr>
        <w:ind w:left="720" w:hanging="360"/>
        <w:rPr>
          <w:u w:val="none"/>
        </w:rPr>
      </w:pPr>
      <w:r w:rsidDel="00000000" w:rsidR="00000000" w:rsidRPr="00000000">
        <w:rPr>
          <w:rtl w:val="0"/>
        </w:rPr>
        <w:t xml:space="preserve">This is a checklist for participants to walk through while completing the Guide during the workshop.</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spreadsheets/d/16beA1ZtWfM4yX-Hqg6r9tBXSt8S06T9OmkSVQckdqK0/edit?usp=sharing" TargetMode="External"/><Relationship Id="rId10" Type="http://schemas.openxmlformats.org/officeDocument/2006/relationships/hyperlink" Target="https://docs.google.com/spreadsheets/d/1ScpBt6cshmPWjdIid8MArO70K0ccVqqo0Y268T7HTo0/copy" TargetMode="External"/><Relationship Id="rId9" Type="http://schemas.openxmlformats.org/officeDocument/2006/relationships/hyperlink" Target="https://docs.google.com/document/d/1JrpjuTWV89AWphMjyyI787xT3MGdbciBuy03TmwUJFE/edit?usp=sharing"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docs.google.com/document/d/1xoupPqd4MjKVxV9H7OVGZcdKfX5g0Q8JpacNqguoX_U/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